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80A0" w14:textId="77777777" w:rsidR="00C21D08" w:rsidRPr="00C21D08" w:rsidRDefault="00C21D08" w:rsidP="00C21D08"/>
    <w:p w14:paraId="503E841E" w14:textId="77777777" w:rsidR="00C21D08" w:rsidRPr="00C21D08" w:rsidRDefault="00C21D08" w:rsidP="00C21D08">
      <w:r w:rsidRPr="00C21D08">
        <w:t xml:space="preserve"> STRATFORD HEALTH CENTRETHE FOREST PRACTICE</w:t>
      </w:r>
    </w:p>
    <w:p w14:paraId="2643D507" w14:textId="77777777" w:rsidR="00C21D08" w:rsidRPr="00C21D08" w:rsidRDefault="00C21D08" w:rsidP="00C21D08"/>
    <w:p w14:paraId="289B64F6" w14:textId="77777777" w:rsidR="00C21D08" w:rsidRPr="00C21D08" w:rsidRDefault="00C21D08" w:rsidP="00C21D08">
      <w:r w:rsidRPr="00C21D08">
        <w:t xml:space="preserve">Patient Update January 2023 </w:t>
      </w:r>
    </w:p>
    <w:p w14:paraId="11B3FDFE" w14:textId="77777777" w:rsidR="00C21D08" w:rsidRPr="00C21D08" w:rsidRDefault="00C21D08" w:rsidP="00C21D08"/>
    <w:p w14:paraId="4AFCA2C9" w14:textId="77777777" w:rsidR="00C21D08" w:rsidRPr="00C21D08" w:rsidRDefault="00C21D08" w:rsidP="00C21D08">
      <w:r w:rsidRPr="00C21D08">
        <w:t xml:space="preserve">Introduction from Dr Anil Shah </w:t>
      </w:r>
    </w:p>
    <w:p w14:paraId="1DB72647" w14:textId="77777777" w:rsidR="00C21D08" w:rsidRPr="00C21D08" w:rsidRDefault="00C21D08" w:rsidP="00C21D08"/>
    <w:p w14:paraId="7B9A9F4F" w14:textId="77777777" w:rsidR="00C21D08" w:rsidRPr="00C21D08" w:rsidRDefault="00C21D08" w:rsidP="00C21D08">
      <w:r w:rsidRPr="00C21D08">
        <w:t xml:space="preserve">Primary Care continues to be challenging. Winter Pressures have been more significant than ever – We are learning to live with Covid - but did not anticipate a London wide Polio Booster campaign from September to December 2022 impacting on our Nursing capacity. </w:t>
      </w:r>
    </w:p>
    <w:p w14:paraId="7994AFB6" w14:textId="77777777" w:rsidR="00C21D08" w:rsidRPr="00C21D08" w:rsidRDefault="00C21D08" w:rsidP="00C21D08"/>
    <w:p w14:paraId="17DB0355" w14:textId="75DEA609" w:rsidR="00C21D08" w:rsidRPr="00C21D08" w:rsidRDefault="00C21D08" w:rsidP="00C21D08">
      <w:r w:rsidRPr="00C21D08">
        <w:t xml:space="preserve">We have had a successful flu vaccination programme and delivered ahead of last year and above the Newham Borough average across most of the key Patient Cohorts. </w:t>
      </w:r>
    </w:p>
    <w:p w14:paraId="51F0EE7F" w14:textId="77777777" w:rsidR="00C21D08" w:rsidRPr="00C21D08" w:rsidRDefault="00C21D08" w:rsidP="00C21D08"/>
    <w:p w14:paraId="481B94B1" w14:textId="77777777" w:rsidR="00C21D08" w:rsidRPr="00C21D08" w:rsidRDefault="00C21D08" w:rsidP="00C21D08">
      <w:r w:rsidRPr="00C21D08">
        <w:t xml:space="preserve">Clinical recruitment and retention </w:t>
      </w:r>
      <w:proofErr w:type="gramStart"/>
      <w:r w:rsidRPr="00C21D08">
        <w:t>is</w:t>
      </w:r>
      <w:proofErr w:type="gramEnd"/>
      <w:r w:rsidRPr="00C21D08">
        <w:t xml:space="preserve"> harder than ever – higher wages, flexible and remote working requests presenting a constant challenge. </w:t>
      </w:r>
    </w:p>
    <w:p w14:paraId="721E4187" w14:textId="77777777" w:rsidR="00C21D08" w:rsidRPr="00C21D08" w:rsidRDefault="00C21D08" w:rsidP="00C21D08"/>
    <w:p w14:paraId="652428B5" w14:textId="77777777" w:rsidR="00C21D08" w:rsidRPr="00C21D08" w:rsidRDefault="00C21D08" w:rsidP="00C21D08">
      <w:r w:rsidRPr="00C21D08">
        <w:t xml:space="preserve">The costs of living crisis </w:t>
      </w:r>
      <w:proofErr w:type="gramStart"/>
      <w:r w:rsidRPr="00C21D08">
        <w:t>is</w:t>
      </w:r>
      <w:proofErr w:type="gramEnd"/>
      <w:r w:rsidRPr="00C21D08">
        <w:t xml:space="preserve"> evident for all of us and our Practice cost base has been significantly impacted by inflationary wage increases, energy costs and an ever increasing supplier cost base. </w:t>
      </w:r>
    </w:p>
    <w:p w14:paraId="73385E54" w14:textId="77777777" w:rsidR="00C21D08" w:rsidRPr="00C21D08" w:rsidRDefault="00C21D08" w:rsidP="00C21D08"/>
    <w:p w14:paraId="373AA2DD" w14:textId="77777777" w:rsidR="00C21D08" w:rsidRPr="00C21D08" w:rsidRDefault="00C21D08" w:rsidP="00C21D08">
      <w:r w:rsidRPr="00C21D08">
        <w:t xml:space="preserve">Our Primary Care Network has seen continued </w:t>
      </w:r>
      <w:proofErr w:type="gramStart"/>
      <w:r w:rsidRPr="00C21D08">
        <w:t>success</w:t>
      </w:r>
      <w:proofErr w:type="gramEnd"/>
      <w:r w:rsidRPr="00C21D08">
        <w:t xml:space="preserve"> and the wider team will continue to grow throughout 2023 -2024 </w:t>
      </w:r>
    </w:p>
    <w:p w14:paraId="3DBBBFCC" w14:textId="77777777" w:rsidR="00C21D08" w:rsidRPr="00C21D08" w:rsidRDefault="00C21D08" w:rsidP="00C21D08"/>
    <w:p w14:paraId="4407B310" w14:textId="77777777" w:rsidR="00C21D08" w:rsidRPr="00C21D08" w:rsidRDefault="00C21D08" w:rsidP="00C21D08">
      <w:r w:rsidRPr="00C21D08">
        <w:t xml:space="preserve">We wanted to provide you an update on a few key areas: </w:t>
      </w:r>
    </w:p>
    <w:p w14:paraId="7A886F45" w14:textId="77777777" w:rsidR="00C21D08" w:rsidRPr="00C21D08" w:rsidRDefault="00C21D08" w:rsidP="00C21D08">
      <w:pPr>
        <w:rPr>
          <w:lang w:eastAsia="en-GB"/>
        </w:rPr>
      </w:pPr>
      <w:r w:rsidRPr="00C21D08">
        <w:rPr>
          <w:lang w:eastAsia="en-GB"/>
        </w:rPr>
        <w:t>Winter Flu Campaign</w:t>
      </w:r>
    </w:p>
    <w:p w14:paraId="17643026" w14:textId="77777777" w:rsidR="00C21D08" w:rsidRPr="00C21D08" w:rsidRDefault="00C21D08" w:rsidP="00C21D08">
      <w:pPr>
        <w:rPr>
          <w:lang w:eastAsia="en-GB"/>
        </w:rPr>
      </w:pPr>
      <w:r w:rsidRPr="00C21D08">
        <w:rPr>
          <w:lang w:eastAsia="en-GB"/>
        </w:rPr>
        <w:t>Appointment Growth</w:t>
      </w:r>
    </w:p>
    <w:p w14:paraId="00956933" w14:textId="77777777" w:rsidR="00C21D08" w:rsidRPr="00C21D08" w:rsidRDefault="00C21D08" w:rsidP="00C21D08">
      <w:pPr>
        <w:rPr>
          <w:lang w:eastAsia="en-GB"/>
        </w:rPr>
      </w:pPr>
      <w:r w:rsidRPr="00C21D08">
        <w:rPr>
          <w:lang w:eastAsia="en-GB"/>
        </w:rPr>
        <w:t>Community Pharmacy Consultation Service</w:t>
      </w:r>
    </w:p>
    <w:p w14:paraId="0BFC0821" w14:textId="77777777" w:rsidR="00C21D08" w:rsidRPr="00C21D08" w:rsidRDefault="00C21D08" w:rsidP="00C21D08">
      <w:pPr>
        <w:rPr>
          <w:lang w:eastAsia="en-GB"/>
        </w:rPr>
      </w:pPr>
      <w:r w:rsidRPr="00C21D08">
        <w:rPr>
          <w:lang w:eastAsia="en-GB"/>
        </w:rPr>
        <w:t>Our Social Prescribing Service (PCN based)</w:t>
      </w:r>
    </w:p>
    <w:p w14:paraId="561F5AE9" w14:textId="77777777" w:rsidR="00C21D08" w:rsidRPr="00C21D08" w:rsidRDefault="00C21D08" w:rsidP="00C21D08">
      <w:pPr>
        <w:rPr>
          <w:lang w:eastAsia="en-GB"/>
        </w:rPr>
      </w:pPr>
      <w:r w:rsidRPr="00C21D08">
        <w:rPr>
          <w:lang w:eastAsia="en-GB"/>
        </w:rPr>
        <w:t>Patient Population Growth (SHC)</w:t>
      </w:r>
    </w:p>
    <w:p w14:paraId="3D2CC276" w14:textId="77777777" w:rsidR="00C21D08" w:rsidRPr="00C21D08" w:rsidRDefault="00C21D08" w:rsidP="00C21D08">
      <w:pPr>
        <w:rPr>
          <w:lang w:eastAsia="en-GB"/>
        </w:rPr>
      </w:pPr>
      <w:r w:rsidRPr="00C21D08">
        <w:rPr>
          <w:lang w:eastAsia="en-GB"/>
        </w:rPr>
        <w:t>Clinical Team</w:t>
      </w:r>
    </w:p>
    <w:p w14:paraId="5A94959E" w14:textId="77777777" w:rsidR="00C21D08" w:rsidRPr="00C21D08" w:rsidRDefault="00C21D08" w:rsidP="00C21D08">
      <w:pPr>
        <w:rPr>
          <w:lang w:eastAsia="en-GB"/>
        </w:rPr>
      </w:pPr>
      <w:r w:rsidRPr="00C21D08">
        <w:rPr>
          <w:lang w:eastAsia="en-GB"/>
        </w:rPr>
        <w:t>National GP Patient Survey</w:t>
      </w:r>
    </w:p>
    <w:p w14:paraId="35F91F62" w14:textId="4EDEF61D" w:rsidR="00C21D08" w:rsidRPr="00C21D08" w:rsidRDefault="00C21D08" w:rsidP="00C21D08">
      <w:r w:rsidRPr="00C21D08">
        <w:rPr>
          <w:lang w:eastAsia="en-GB"/>
        </w:rPr>
        <w:t>Primary Care Network</w:t>
      </w:r>
    </w:p>
    <w:p w14:paraId="3135C7A5" w14:textId="77777777" w:rsidR="00C21D08" w:rsidRPr="00C21D08" w:rsidRDefault="00C21D08" w:rsidP="00C21D08"/>
    <w:p w14:paraId="5E4EA3E0" w14:textId="77777777" w:rsidR="00C21D08" w:rsidRPr="00C21D08" w:rsidRDefault="00C21D08" w:rsidP="00C21D08">
      <w:r w:rsidRPr="00C21D08">
        <w:t xml:space="preserve">Winter Flu Campaign 2022-23 </w:t>
      </w:r>
    </w:p>
    <w:p w14:paraId="19588215" w14:textId="77777777" w:rsidR="00C21D08" w:rsidRPr="00C21D08" w:rsidRDefault="00C21D08" w:rsidP="00C21D08"/>
    <w:p w14:paraId="1EBCE410" w14:textId="77777777" w:rsidR="00C21D08" w:rsidRPr="00C21D08" w:rsidRDefault="00C21D08" w:rsidP="00C21D08">
      <w:r w:rsidRPr="00C21D08">
        <w:t xml:space="preserve">Across our 2 Practices, we have vaccinated circa 30% more Patients in Practices versus last year. </w:t>
      </w:r>
    </w:p>
    <w:p w14:paraId="3AB6A538" w14:textId="77777777" w:rsidR="00C21D08" w:rsidRPr="00C21D08" w:rsidRDefault="00C21D08" w:rsidP="00C21D08"/>
    <w:p w14:paraId="4F860EEE" w14:textId="77777777" w:rsidR="00C21D08" w:rsidRPr="00C21D08" w:rsidRDefault="00C21D08" w:rsidP="00C21D08">
      <w:r w:rsidRPr="00C21D08">
        <w:t xml:space="preserve">In total 950 Patients at SHC and 1,243 Patients at TFP (data up to 16.01.2023) </w:t>
      </w:r>
    </w:p>
    <w:p w14:paraId="4B219BAC" w14:textId="77777777" w:rsidR="00C21D08" w:rsidRPr="00C21D08" w:rsidRDefault="00C21D08" w:rsidP="00C21D08"/>
    <w:p w14:paraId="2887743C" w14:textId="6F82F87D" w:rsidR="00C21D08" w:rsidRPr="00C21D08" w:rsidRDefault="00C21D08" w:rsidP="00C21D08">
      <w:r w:rsidRPr="00C21D08">
        <w:t>In a number of key patient cohorts, we have tracked ahead of Newham Average</w:t>
      </w:r>
    </w:p>
    <w:p w14:paraId="258B4BFF" w14:textId="77777777" w:rsidR="00C21D08" w:rsidRPr="00C21D08" w:rsidRDefault="00C21D08" w:rsidP="00C21D08"/>
    <w:tbl>
      <w:tblPr>
        <w:tblW w:w="471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75"/>
        <w:gridCol w:w="1268"/>
        <w:gridCol w:w="987"/>
        <w:gridCol w:w="987"/>
      </w:tblGrid>
      <w:tr w:rsidR="00C21D08" w:rsidRPr="00C21D08" w14:paraId="64425381" w14:textId="77777777" w:rsidTr="00C21D08">
        <w:tblPrEx>
          <w:tblCellMar>
            <w:top w:w="0" w:type="dxa"/>
            <w:bottom w:w="0" w:type="dxa"/>
          </w:tblCellMar>
        </w:tblPrEx>
        <w:trPr>
          <w:trHeight w:val="88"/>
        </w:trPr>
        <w:tc>
          <w:tcPr>
            <w:tcW w:w="1475" w:type="dxa"/>
            <w:tcBorders>
              <w:top w:val="none" w:sz="6" w:space="0" w:color="auto"/>
              <w:bottom w:val="none" w:sz="6" w:space="0" w:color="auto"/>
              <w:right w:val="none" w:sz="6" w:space="0" w:color="auto"/>
            </w:tcBorders>
          </w:tcPr>
          <w:p w14:paraId="64F7A77C" w14:textId="560DF566" w:rsidR="00C21D08" w:rsidRPr="00C21D08" w:rsidRDefault="00C21D08" w:rsidP="00C21D08">
            <w:r w:rsidRPr="00C21D08">
              <w:t xml:space="preserve">Cohort </w:t>
            </w:r>
          </w:p>
        </w:tc>
        <w:tc>
          <w:tcPr>
            <w:tcW w:w="1268" w:type="dxa"/>
            <w:tcBorders>
              <w:top w:val="none" w:sz="6" w:space="0" w:color="auto"/>
              <w:left w:val="none" w:sz="6" w:space="0" w:color="auto"/>
              <w:bottom w:val="none" w:sz="6" w:space="0" w:color="auto"/>
              <w:right w:val="none" w:sz="6" w:space="0" w:color="auto"/>
            </w:tcBorders>
          </w:tcPr>
          <w:p w14:paraId="0BE136E3" w14:textId="77777777" w:rsidR="00C21D08" w:rsidRPr="00C21D08" w:rsidRDefault="00C21D08" w:rsidP="00C21D08">
            <w:r w:rsidRPr="00C21D08">
              <w:t xml:space="preserve">Newham </w:t>
            </w:r>
          </w:p>
        </w:tc>
        <w:tc>
          <w:tcPr>
            <w:tcW w:w="987" w:type="dxa"/>
            <w:tcBorders>
              <w:top w:val="none" w:sz="6" w:space="0" w:color="auto"/>
              <w:left w:val="none" w:sz="6" w:space="0" w:color="auto"/>
              <w:bottom w:val="none" w:sz="6" w:space="0" w:color="auto"/>
              <w:right w:val="none" w:sz="6" w:space="0" w:color="auto"/>
            </w:tcBorders>
          </w:tcPr>
          <w:p w14:paraId="5A035916" w14:textId="77777777" w:rsidR="00C21D08" w:rsidRPr="00C21D08" w:rsidRDefault="00C21D08" w:rsidP="00C21D08">
            <w:r w:rsidRPr="00C21D08">
              <w:t xml:space="preserve">SHC </w:t>
            </w:r>
          </w:p>
        </w:tc>
        <w:tc>
          <w:tcPr>
            <w:tcW w:w="987" w:type="dxa"/>
            <w:tcBorders>
              <w:top w:val="none" w:sz="6" w:space="0" w:color="auto"/>
              <w:left w:val="none" w:sz="6" w:space="0" w:color="auto"/>
              <w:bottom w:val="none" w:sz="6" w:space="0" w:color="auto"/>
            </w:tcBorders>
          </w:tcPr>
          <w:p w14:paraId="4D7D8ACA" w14:textId="77777777" w:rsidR="00C21D08" w:rsidRPr="00C21D08" w:rsidRDefault="00C21D08" w:rsidP="00C21D08">
            <w:r w:rsidRPr="00C21D08">
              <w:t xml:space="preserve">TFP </w:t>
            </w:r>
          </w:p>
        </w:tc>
      </w:tr>
      <w:tr w:rsidR="00C21D08" w:rsidRPr="00C21D08" w14:paraId="25CDF7F3" w14:textId="77777777" w:rsidTr="00C21D08">
        <w:tblPrEx>
          <w:tblCellMar>
            <w:top w:w="0" w:type="dxa"/>
            <w:bottom w:w="0" w:type="dxa"/>
          </w:tblCellMar>
        </w:tblPrEx>
        <w:trPr>
          <w:trHeight w:val="92"/>
        </w:trPr>
        <w:tc>
          <w:tcPr>
            <w:tcW w:w="1475" w:type="dxa"/>
            <w:tcBorders>
              <w:top w:val="none" w:sz="6" w:space="0" w:color="auto"/>
              <w:bottom w:val="none" w:sz="6" w:space="0" w:color="auto"/>
              <w:right w:val="none" w:sz="6" w:space="0" w:color="auto"/>
            </w:tcBorders>
          </w:tcPr>
          <w:p w14:paraId="5F8A59D2" w14:textId="77777777" w:rsidR="00C21D08" w:rsidRPr="00C21D08" w:rsidRDefault="00C21D08" w:rsidP="00C21D08">
            <w:r w:rsidRPr="00C21D08">
              <w:t xml:space="preserve">Over 65’s </w:t>
            </w:r>
          </w:p>
        </w:tc>
        <w:tc>
          <w:tcPr>
            <w:tcW w:w="1268" w:type="dxa"/>
            <w:tcBorders>
              <w:top w:val="none" w:sz="6" w:space="0" w:color="auto"/>
              <w:left w:val="none" w:sz="6" w:space="0" w:color="auto"/>
              <w:bottom w:val="none" w:sz="6" w:space="0" w:color="auto"/>
              <w:right w:val="none" w:sz="6" w:space="0" w:color="auto"/>
            </w:tcBorders>
          </w:tcPr>
          <w:p w14:paraId="59A4C4F3" w14:textId="77777777" w:rsidR="00C21D08" w:rsidRPr="00C21D08" w:rsidRDefault="00C21D08" w:rsidP="00C21D08">
            <w:r w:rsidRPr="00C21D08">
              <w:t xml:space="preserve">60.7% </w:t>
            </w:r>
          </w:p>
        </w:tc>
        <w:tc>
          <w:tcPr>
            <w:tcW w:w="987" w:type="dxa"/>
            <w:tcBorders>
              <w:top w:val="none" w:sz="6" w:space="0" w:color="auto"/>
              <w:left w:val="none" w:sz="6" w:space="0" w:color="auto"/>
              <w:bottom w:val="none" w:sz="6" w:space="0" w:color="auto"/>
              <w:right w:val="none" w:sz="6" w:space="0" w:color="auto"/>
            </w:tcBorders>
          </w:tcPr>
          <w:p w14:paraId="21247B31" w14:textId="77777777" w:rsidR="00C21D08" w:rsidRPr="00C21D08" w:rsidRDefault="00C21D08" w:rsidP="00C21D08">
            <w:r w:rsidRPr="00C21D08">
              <w:t xml:space="preserve">64.1% </w:t>
            </w:r>
          </w:p>
        </w:tc>
        <w:tc>
          <w:tcPr>
            <w:tcW w:w="987" w:type="dxa"/>
            <w:tcBorders>
              <w:top w:val="none" w:sz="6" w:space="0" w:color="auto"/>
              <w:left w:val="none" w:sz="6" w:space="0" w:color="auto"/>
              <w:bottom w:val="none" w:sz="6" w:space="0" w:color="auto"/>
            </w:tcBorders>
          </w:tcPr>
          <w:p w14:paraId="0F96C345" w14:textId="77777777" w:rsidR="00C21D08" w:rsidRPr="00C21D08" w:rsidRDefault="00C21D08" w:rsidP="00C21D08">
            <w:r w:rsidRPr="00C21D08">
              <w:t xml:space="preserve">64.5% </w:t>
            </w:r>
          </w:p>
        </w:tc>
      </w:tr>
      <w:tr w:rsidR="00C21D08" w:rsidRPr="00C21D08" w14:paraId="3581FBB7" w14:textId="77777777" w:rsidTr="00C21D08">
        <w:tblPrEx>
          <w:tblCellMar>
            <w:top w:w="0" w:type="dxa"/>
            <w:bottom w:w="0" w:type="dxa"/>
          </w:tblCellMar>
        </w:tblPrEx>
        <w:trPr>
          <w:trHeight w:val="211"/>
        </w:trPr>
        <w:tc>
          <w:tcPr>
            <w:tcW w:w="1475" w:type="dxa"/>
            <w:tcBorders>
              <w:top w:val="none" w:sz="6" w:space="0" w:color="auto"/>
              <w:bottom w:val="none" w:sz="6" w:space="0" w:color="auto"/>
              <w:right w:val="none" w:sz="6" w:space="0" w:color="auto"/>
            </w:tcBorders>
          </w:tcPr>
          <w:p w14:paraId="69ADDC7F" w14:textId="77777777" w:rsidR="00C21D08" w:rsidRPr="00C21D08" w:rsidRDefault="00C21D08" w:rsidP="00C21D08">
            <w:r w:rsidRPr="00C21D08">
              <w:t xml:space="preserve">Care Home </w:t>
            </w:r>
          </w:p>
        </w:tc>
        <w:tc>
          <w:tcPr>
            <w:tcW w:w="1268" w:type="dxa"/>
            <w:tcBorders>
              <w:top w:val="none" w:sz="6" w:space="0" w:color="auto"/>
              <w:left w:val="none" w:sz="6" w:space="0" w:color="auto"/>
              <w:bottom w:val="none" w:sz="6" w:space="0" w:color="auto"/>
              <w:right w:val="none" w:sz="6" w:space="0" w:color="auto"/>
            </w:tcBorders>
          </w:tcPr>
          <w:p w14:paraId="4DF0EF51" w14:textId="77777777" w:rsidR="00C21D08" w:rsidRPr="00C21D08" w:rsidRDefault="00C21D08" w:rsidP="00C21D08">
            <w:r w:rsidRPr="00C21D08">
              <w:t xml:space="preserve">62.0% </w:t>
            </w:r>
          </w:p>
        </w:tc>
        <w:tc>
          <w:tcPr>
            <w:tcW w:w="987" w:type="dxa"/>
            <w:tcBorders>
              <w:top w:val="none" w:sz="6" w:space="0" w:color="auto"/>
              <w:left w:val="none" w:sz="6" w:space="0" w:color="auto"/>
              <w:bottom w:val="none" w:sz="6" w:space="0" w:color="auto"/>
              <w:right w:val="none" w:sz="6" w:space="0" w:color="auto"/>
            </w:tcBorders>
          </w:tcPr>
          <w:p w14:paraId="2F19E7F2" w14:textId="77777777" w:rsidR="00C21D08" w:rsidRPr="00C21D08" w:rsidRDefault="00C21D08" w:rsidP="00C21D08">
            <w:r w:rsidRPr="00C21D08">
              <w:t xml:space="preserve">n/a </w:t>
            </w:r>
          </w:p>
        </w:tc>
        <w:tc>
          <w:tcPr>
            <w:tcW w:w="987" w:type="dxa"/>
            <w:tcBorders>
              <w:top w:val="none" w:sz="6" w:space="0" w:color="auto"/>
              <w:left w:val="none" w:sz="6" w:space="0" w:color="auto"/>
              <w:bottom w:val="none" w:sz="6" w:space="0" w:color="auto"/>
            </w:tcBorders>
          </w:tcPr>
          <w:p w14:paraId="0FE3E983" w14:textId="77777777" w:rsidR="00C21D08" w:rsidRPr="00C21D08" w:rsidRDefault="00C21D08" w:rsidP="00C21D08">
            <w:r w:rsidRPr="00C21D08">
              <w:t xml:space="preserve">66.7% </w:t>
            </w:r>
          </w:p>
        </w:tc>
      </w:tr>
      <w:tr w:rsidR="00C21D08" w:rsidRPr="00C21D08" w14:paraId="5BACB2AF" w14:textId="77777777" w:rsidTr="00C21D08">
        <w:tblPrEx>
          <w:tblCellMar>
            <w:top w:w="0" w:type="dxa"/>
            <w:bottom w:w="0" w:type="dxa"/>
          </w:tblCellMar>
        </w:tblPrEx>
        <w:trPr>
          <w:trHeight w:val="88"/>
        </w:trPr>
        <w:tc>
          <w:tcPr>
            <w:tcW w:w="1475" w:type="dxa"/>
            <w:tcBorders>
              <w:top w:val="none" w:sz="6" w:space="0" w:color="auto"/>
              <w:bottom w:val="none" w:sz="6" w:space="0" w:color="auto"/>
              <w:right w:val="none" w:sz="6" w:space="0" w:color="auto"/>
            </w:tcBorders>
          </w:tcPr>
          <w:p w14:paraId="56A26D00" w14:textId="77777777" w:rsidR="00C21D08" w:rsidRPr="00C21D08" w:rsidRDefault="00C21D08" w:rsidP="00C21D08">
            <w:proofErr w:type="spellStart"/>
            <w:r w:rsidRPr="00C21D08">
              <w:lastRenderedPageBreak/>
              <w:t>Housebnd</w:t>
            </w:r>
            <w:proofErr w:type="spellEnd"/>
            <w:r w:rsidRPr="00C21D08">
              <w:t xml:space="preserve"> </w:t>
            </w:r>
          </w:p>
        </w:tc>
        <w:tc>
          <w:tcPr>
            <w:tcW w:w="1268" w:type="dxa"/>
            <w:tcBorders>
              <w:top w:val="none" w:sz="6" w:space="0" w:color="auto"/>
              <w:left w:val="none" w:sz="6" w:space="0" w:color="auto"/>
              <w:bottom w:val="none" w:sz="6" w:space="0" w:color="auto"/>
              <w:right w:val="none" w:sz="6" w:space="0" w:color="auto"/>
            </w:tcBorders>
          </w:tcPr>
          <w:p w14:paraId="303C8AD1" w14:textId="77777777" w:rsidR="00C21D08" w:rsidRPr="00C21D08" w:rsidRDefault="00C21D08" w:rsidP="00C21D08">
            <w:r w:rsidRPr="00C21D08">
              <w:t xml:space="preserve">68.2% </w:t>
            </w:r>
          </w:p>
        </w:tc>
        <w:tc>
          <w:tcPr>
            <w:tcW w:w="987" w:type="dxa"/>
            <w:tcBorders>
              <w:top w:val="none" w:sz="6" w:space="0" w:color="auto"/>
              <w:left w:val="none" w:sz="6" w:space="0" w:color="auto"/>
              <w:bottom w:val="none" w:sz="6" w:space="0" w:color="auto"/>
              <w:right w:val="none" w:sz="6" w:space="0" w:color="auto"/>
            </w:tcBorders>
          </w:tcPr>
          <w:p w14:paraId="1DA64A65" w14:textId="77777777" w:rsidR="00C21D08" w:rsidRPr="00C21D08" w:rsidRDefault="00C21D08" w:rsidP="00C21D08">
            <w:r w:rsidRPr="00C21D08">
              <w:t xml:space="preserve">76.7% </w:t>
            </w:r>
          </w:p>
        </w:tc>
        <w:tc>
          <w:tcPr>
            <w:tcW w:w="987" w:type="dxa"/>
            <w:tcBorders>
              <w:top w:val="none" w:sz="6" w:space="0" w:color="auto"/>
              <w:left w:val="none" w:sz="6" w:space="0" w:color="auto"/>
              <w:bottom w:val="none" w:sz="6" w:space="0" w:color="auto"/>
            </w:tcBorders>
          </w:tcPr>
          <w:p w14:paraId="0F80CFB3" w14:textId="77777777" w:rsidR="00C21D08" w:rsidRPr="00C21D08" w:rsidRDefault="00C21D08" w:rsidP="00C21D08">
            <w:r w:rsidRPr="00C21D08">
              <w:t xml:space="preserve">64.6% </w:t>
            </w:r>
          </w:p>
        </w:tc>
      </w:tr>
      <w:tr w:rsidR="00C21D08" w:rsidRPr="00C21D08" w14:paraId="2ED2A4F2" w14:textId="77777777" w:rsidTr="00C21D08">
        <w:tblPrEx>
          <w:tblCellMar>
            <w:top w:w="0" w:type="dxa"/>
            <w:bottom w:w="0" w:type="dxa"/>
          </w:tblCellMar>
        </w:tblPrEx>
        <w:trPr>
          <w:trHeight w:val="88"/>
        </w:trPr>
        <w:tc>
          <w:tcPr>
            <w:tcW w:w="1475" w:type="dxa"/>
            <w:tcBorders>
              <w:top w:val="none" w:sz="6" w:space="0" w:color="auto"/>
              <w:bottom w:val="none" w:sz="6" w:space="0" w:color="auto"/>
              <w:right w:val="none" w:sz="6" w:space="0" w:color="auto"/>
            </w:tcBorders>
          </w:tcPr>
          <w:p w14:paraId="0B4FC74F" w14:textId="77777777" w:rsidR="00C21D08" w:rsidRPr="00C21D08" w:rsidRDefault="00C21D08" w:rsidP="00C21D08">
            <w:r w:rsidRPr="00C21D08">
              <w:t xml:space="preserve">Pregnant </w:t>
            </w:r>
          </w:p>
        </w:tc>
        <w:tc>
          <w:tcPr>
            <w:tcW w:w="1268" w:type="dxa"/>
            <w:tcBorders>
              <w:top w:val="none" w:sz="6" w:space="0" w:color="auto"/>
              <w:left w:val="none" w:sz="6" w:space="0" w:color="auto"/>
              <w:bottom w:val="none" w:sz="6" w:space="0" w:color="auto"/>
              <w:right w:val="none" w:sz="6" w:space="0" w:color="auto"/>
            </w:tcBorders>
          </w:tcPr>
          <w:p w14:paraId="0E9DCC1D" w14:textId="77777777" w:rsidR="00C21D08" w:rsidRPr="00C21D08" w:rsidRDefault="00C21D08" w:rsidP="00C21D08">
            <w:r w:rsidRPr="00C21D08">
              <w:t xml:space="preserve">43.5% </w:t>
            </w:r>
          </w:p>
        </w:tc>
        <w:tc>
          <w:tcPr>
            <w:tcW w:w="987" w:type="dxa"/>
            <w:tcBorders>
              <w:top w:val="none" w:sz="6" w:space="0" w:color="auto"/>
              <w:left w:val="none" w:sz="6" w:space="0" w:color="auto"/>
              <w:bottom w:val="none" w:sz="6" w:space="0" w:color="auto"/>
              <w:right w:val="none" w:sz="6" w:space="0" w:color="auto"/>
            </w:tcBorders>
          </w:tcPr>
          <w:p w14:paraId="56AC20AB" w14:textId="77777777" w:rsidR="00C21D08" w:rsidRPr="00C21D08" w:rsidRDefault="00C21D08" w:rsidP="00C21D08">
            <w:r w:rsidRPr="00C21D08">
              <w:t xml:space="preserve">66.7% </w:t>
            </w:r>
          </w:p>
        </w:tc>
        <w:tc>
          <w:tcPr>
            <w:tcW w:w="987" w:type="dxa"/>
            <w:tcBorders>
              <w:top w:val="none" w:sz="6" w:space="0" w:color="auto"/>
              <w:left w:val="none" w:sz="6" w:space="0" w:color="auto"/>
              <w:bottom w:val="none" w:sz="6" w:space="0" w:color="auto"/>
            </w:tcBorders>
          </w:tcPr>
          <w:p w14:paraId="246E1970" w14:textId="77777777" w:rsidR="00C21D08" w:rsidRPr="00C21D08" w:rsidRDefault="00C21D08" w:rsidP="00C21D08">
            <w:r w:rsidRPr="00C21D08">
              <w:t xml:space="preserve">66.7% </w:t>
            </w:r>
          </w:p>
        </w:tc>
      </w:tr>
      <w:tr w:rsidR="00C21D08" w:rsidRPr="00C21D08" w14:paraId="56E83030" w14:textId="77777777" w:rsidTr="00C21D08">
        <w:tblPrEx>
          <w:tblCellMar>
            <w:top w:w="0" w:type="dxa"/>
            <w:bottom w:w="0" w:type="dxa"/>
          </w:tblCellMar>
        </w:tblPrEx>
        <w:trPr>
          <w:trHeight w:val="88"/>
        </w:trPr>
        <w:tc>
          <w:tcPr>
            <w:tcW w:w="1475" w:type="dxa"/>
            <w:tcBorders>
              <w:top w:val="none" w:sz="6" w:space="0" w:color="auto"/>
              <w:bottom w:val="none" w:sz="6" w:space="0" w:color="auto"/>
              <w:right w:val="none" w:sz="6" w:space="0" w:color="auto"/>
            </w:tcBorders>
          </w:tcPr>
          <w:p w14:paraId="620EA7C9" w14:textId="77777777" w:rsidR="00C21D08" w:rsidRPr="00C21D08" w:rsidRDefault="00C21D08" w:rsidP="00C21D08">
            <w:r w:rsidRPr="00C21D08">
              <w:t xml:space="preserve">2-3 </w:t>
            </w:r>
            <w:proofErr w:type="spellStart"/>
            <w:r w:rsidRPr="00C21D08">
              <w:t>Yrs</w:t>
            </w:r>
            <w:proofErr w:type="spellEnd"/>
            <w:r w:rsidRPr="00C21D08">
              <w:t xml:space="preserve"> </w:t>
            </w:r>
          </w:p>
        </w:tc>
        <w:tc>
          <w:tcPr>
            <w:tcW w:w="1268" w:type="dxa"/>
            <w:tcBorders>
              <w:top w:val="none" w:sz="6" w:space="0" w:color="auto"/>
              <w:left w:val="none" w:sz="6" w:space="0" w:color="auto"/>
              <w:bottom w:val="none" w:sz="6" w:space="0" w:color="auto"/>
              <w:right w:val="none" w:sz="6" w:space="0" w:color="auto"/>
            </w:tcBorders>
          </w:tcPr>
          <w:p w14:paraId="6747BBFC" w14:textId="77777777" w:rsidR="00C21D08" w:rsidRPr="00C21D08" w:rsidRDefault="00C21D08" w:rsidP="00C21D08">
            <w:r w:rsidRPr="00C21D08">
              <w:t xml:space="preserve">42.86% </w:t>
            </w:r>
          </w:p>
        </w:tc>
        <w:tc>
          <w:tcPr>
            <w:tcW w:w="987" w:type="dxa"/>
            <w:tcBorders>
              <w:top w:val="none" w:sz="6" w:space="0" w:color="auto"/>
              <w:left w:val="none" w:sz="6" w:space="0" w:color="auto"/>
              <w:bottom w:val="none" w:sz="6" w:space="0" w:color="auto"/>
              <w:right w:val="none" w:sz="6" w:space="0" w:color="auto"/>
            </w:tcBorders>
          </w:tcPr>
          <w:p w14:paraId="460396F3" w14:textId="77777777" w:rsidR="00C21D08" w:rsidRPr="00C21D08" w:rsidRDefault="00C21D08" w:rsidP="00C21D08">
            <w:r w:rsidRPr="00C21D08">
              <w:t xml:space="preserve">66.7% </w:t>
            </w:r>
          </w:p>
        </w:tc>
        <w:tc>
          <w:tcPr>
            <w:tcW w:w="987" w:type="dxa"/>
            <w:tcBorders>
              <w:top w:val="none" w:sz="6" w:space="0" w:color="auto"/>
              <w:left w:val="none" w:sz="6" w:space="0" w:color="auto"/>
              <w:bottom w:val="none" w:sz="6" w:space="0" w:color="auto"/>
            </w:tcBorders>
          </w:tcPr>
          <w:p w14:paraId="12C2D168" w14:textId="77777777" w:rsidR="00C21D08" w:rsidRPr="00C21D08" w:rsidRDefault="00C21D08" w:rsidP="00C21D08">
            <w:r w:rsidRPr="00C21D08">
              <w:t xml:space="preserve">66.7% </w:t>
            </w:r>
          </w:p>
        </w:tc>
      </w:tr>
      <w:tr w:rsidR="00C21D08" w:rsidRPr="00C21D08" w14:paraId="14AF7CB0" w14:textId="77777777" w:rsidTr="00C21D08">
        <w:tblPrEx>
          <w:tblCellMar>
            <w:top w:w="0" w:type="dxa"/>
            <w:bottom w:w="0" w:type="dxa"/>
          </w:tblCellMar>
        </w:tblPrEx>
        <w:trPr>
          <w:trHeight w:val="88"/>
        </w:trPr>
        <w:tc>
          <w:tcPr>
            <w:tcW w:w="1475" w:type="dxa"/>
            <w:tcBorders>
              <w:top w:val="none" w:sz="6" w:space="0" w:color="auto"/>
              <w:bottom w:val="none" w:sz="6" w:space="0" w:color="auto"/>
              <w:right w:val="none" w:sz="6" w:space="0" w:color="auto"/>
            </w:tcBorders>
          </w:tcPr>
          <w:p w14:paraId="248D7E20" w14:textId="77777777" w:rsidR="00C21D08" w:rsidRPr="00C21D08" w:rsidRDefault="00C21D08" w:rsidP="00C21D08">
            <w:r w:rsidRPr="00C21D08">
              <w:t xml:space="preserve">18-49 </w:t>
            </w:r>
            <w:proofErr w:type="spellStart"/>
            <w:r w:rsidRPr="00C21D08">
              <w:t>yrs</w:t>
            </w:r>
            <w:proofErr w:type="spellEnd"/>
            <w:r w:rsidRPr="00C21D08">
              <w:t xml:space="preserve"> </w:t>
            </w:r>
          </w:p>
        </w:tc>
        <w:tc>
          <w:tcPr>
            <w:tcW w:w="1268" w:type="dxa"/>
            <w:tcBorders>
              <w:top w:val="none" w:sz="6" w:space="0" w:color="auto"/>
              <w:left w:val="none" w:sz="6" w:space="0" w:color="auto"/>
              <w:bottom w:val="none" w:sz="6" w:space="0" w:color="auto"/>
              <w:right w:val="none" w:sz="6" w:space="0" w:color="auto"/>
            </w:tcBorders>
          </w:tcPr>
          <w:p w14:paraId="632C5F8C" w14:textId="77777777" w:rsidR="00C21D08" w:rsidRPr="00C21D08" w:rsidRDefault="00C21D08" w:rsidP="00C21D08">
            <w:r w:rsidRPr="00C21D08">
              <w:t xml:space="preserve">35.7% </w:t>
            </w:r>
          </w:p>
        </w:tc>
        <w:tc>
          <w:tcPr>
            <w:tcW w:w="987" w:type="dxa"/>
            <w:tcBorders>
              <w:top w:val="none" w:sz="6" w:space="0" w:color="auto"/>
              <w:left w:val="none" w:sz="6" w:space="0" w:color="auto"/>
              <w:bottom w:val="none" w:sz="6" w:space="0" w:color="auto"/>
              <w:right w:val="none" w:sz="6" w:space="0" w:color="auto"/>
            </w:tcBorders>
          </w:tcPr>
          <w:p w14:paraId="385A7A77" w14:textId="77777777" w:rsidR="00C21D08" w:rsidRPr="00C21D08" w:rsidRDefault="00C21D08" w:rsidP="00C21D08">
            <w:r w:rsidRPr="00C21D08">
              <w:t xml:space="preserve">34.9% </w:t>
            </w:r>
          </w:p>
        </w:tc>
        <w:tc>
          <w:tcPr>
            <w:tcW w:w="987" w:type="dxa"/>
            <w:tcBorders>
              <w:top w:val="none" w:sz="6" w:space="0" w:color="auto"/>
              <w:left w:val="none" w:sz="6" w:space="0" w:color="auto"/>
              <w:bottom w:val="none" w:sz="6" w:space="0" w:color="auto"/>
            </w:tcBorders>
          </w:tcPr>
          <w:p w14:paraId="021903B2" w14:textId="77777777" w:rsidR="00C21D08" w:rsidRPr="00C21D08" w:rsidRDefault="00C21D08" w:rsidP="00C21D08">
            <w:r w:rsidRPr="00C21D08">
              <w:t xml:space="preserve">35.2% </w:t>
            </w:r>
          </w:p>
        </w:tc>
      </w:tr>
    </w:tbl>
    <w:p w14:paraId="47D33F09" w14:textId="77777777" w:rsidR="00C21D08" w:rsidRPr="00C21D08" w:rsidRDefault="00C21D08" w:rsidP="00C21D08"/>
    <w:p w14:paraId="5CB60598" w14:textId="2746B306" w:rsidR="00C21D08" w:rsidRPr="00C21D08" w:rsidRDefault="00C21D08" w:rsidP="00C21D08">
      <w:r w:rsidRPr="00C21D08">
        <w:t xml:space="preserve">RECORD FLU CLINIC </w:t>
      </w:r>
    </w:p>
    <w:p w14:paraId="6D831772" w14:textId="77777777" w:rsidR="00C21D08" w:rsidRPr="00C21D08" w:rsidRDefault="00C21D08" w:rsidP="00C21D08"/>
    <w:p w14:paraId="4E0174E8" w14:textId="77777777" w:rsidR="00C21D08" w:rsidRPr="00C21D08" w:rsidRDefault="00C21D08" w:rsidP="00C21D08">
      <w:r w:rsidRPr="00C21D08">
        <w:t xml:space="preserve">Day 1 of our Flu Clinic achieved 563 vaccines in 1 day at TFP and 397 at SHC -960 in total in just 2 days – a Practice record! </w:t>
      </w:r>
    </w:p>
    <w:p w14:paraId="5C7CA450" w14:textId="77777777" w:rsidR="009E0233" w:rsidRPr="00C21D08" w:rsidRDefault="009E0233" w:rsidP="00C21D08"/>
    <w:p w14:paraId="54FEFE6C" w14:textId="5CC4EE28" w:rsidR="00C21D08" w:rsidRPr="00C21D08" w:rsidRDefault="00C21D08" w:rsidP="00C21D08">
      <w:r w:rsidRPr="00C21D08">
        <w:t xml:space="preserve">More Appointment being </w:t>
      </w:r>
      <w:proofErr w:type="gramStart"/>
      <w:r w:rsidRPr="00C21D08">
        <w:t>offered</w:t>
      </w:r>
      <w:proofErr w:type="gramEnd"/>
    </w:p>
    <w:p w14:paraId="0C328357" w14:textId="77777777" w:rsidR="00C21D08" w:rsidRPr="00C21D08" w:rsidRDefault="00C21D08" w:rsidP="00C21D08"/>
    <w:p w14:paraId="5F228EF5" w14:textId="2A17F6A1" w:rsidR="00C21D08" w:rsidRPr="00C21D08" w:rsidRDefault="00C21D08" w:rsidP="00C21D08">
      <w:r w:rsidRPr="00C21D08">
        <w:t>9224 more appointments given in the last 12 months November 2021 to October 2022</w:t>
      </w:r>
    </w:p>
    <w:p w14:paraId="3A1B56D2" w14:textId="6D695447" w:rsidR="00C21D08" w:rsidRPr="00C21D08" w:rsidRDefault="00C21D08" w:rsidP="00C21D08">
      <w:r w:rsidRPr="00C21D08">
        <w:t>177 extra appointments a week</w:t>
      </w:r>
    </w:p>
    <w:p w14:paraId="38EC9C51" w14:textId="77777777" w:rsidR="00C21D08" w:rsidRPr="00C21D08" w:rsidRDefault="00C21D08" w:rsidP="00C21D08"/>
    <w:p w14:paraId="64AB9412" w14:textId="6D2179AD" w:rsidR="00C21D08" w:rsidRPr="00C21D08" w:rsidRDefault="00C21D08" w:rsidP="00C21D08">
      <w:r w:rsidRPr="00C21D08">
        <w:t>Nationally, Data is now available across every GP Practice to show number of appointments, types of appointments and variances versus previous year and previous 2 years.</w:t>
      </w:r>
    </w:p>
    <w:p w14:paraId="670197E3" w14:textId="77777777" w:rsidR="00C21D08" w:rsidRPr="00C21D08" w:rsidRDefault="00C21D08" w:rsidP="00C21D08"/>
    <w:p w14:paraId="2AC71DB8" w14:textId="013DC647" w:rsidR="00C21D08" w:rsidRPr="00C21D08" w:rsidRDefault="00C21D08" w:rsidP="00C21D08">
      <w:r w:rsidRPr="00C21D08">
        <w:t>Community Pharmacy Consultation Service</w:t>
      </w:r>
    </w:p>
    <w:p w14:paraId="2F2A93F3" w14:textId="77777777" w:rsidR="00C21D08" w:rsidRPr="00C21D08" w:rsidRDefault="00C21D08" w:rsidP="00C21D08"/>
    <w:p w14:paraId="255C6AFB" w14:textId="77777777" w:rsidR="00C21D08" w:rsidRPr="00C21D08" w:rsidRDefault="00C21D08" w:rsidP="00C21D08">
      <w:r w:rsidRPr="00C21D08">
        <w:t xml:space="preserve">This Referral service was introduced nationally from 1st April 2022 as a way of supporting Patient Access and allowing Practices to directly refer Patients to their nominated pharmacy for more minor acute conditions. </w:t>
      </w:r>
    </w:p>
    <w:p w14:paraId="78432597" w14:textId="77777777" w:rsidR="00C21D08" w:rsidRPr="00C21D08" w:rsidRDefault="00C21D08" w:rsidP="00C21D08"/>
    <w:p w14:paraId="5090F410" w14:textId="65B379B0" w:rsidR="00C21D08" w:rsidRPr="00C21D08" w:rsidRDefault="00C21D08" w:rsidP="00C21D08">
      <w:r w:rsidRPr="00C21D08">
        <w:t xml:space="preserve">We officially launched the service from 1st June 2022 (3 months later than the national launch), however, in this time, we are one of the best performing PCN’s across the whole of </w:t>
      </w:r>
      <w:proofErr w:type="gramStart"/>
      <w:r w:rsidRPr="00C21D08">
        <w:t>North East</w:t>
      </w:r>
      <w:proofErr w:type="gramEnd"/>
      <w:r w:rsidRPr="00C21D08">
        <w:t xml:space="preserve"> London (comprising 47 PCN’s and over 280 GP Practices) </w:t>
      </w:r>
    </w:p>
    <w:p w14:paraId="1F7DBBC0" w14:textId="77777777" w:rsidR="00C21D08" w:rsidRPr="00C21D08" w:rsidRDefault="00C21D08" w:rsidP="00C21D08"/>
    <w:p w14:paraId="63EFEC91" w14:textId="77777777" w:rsidR="00C21D08" w:rsidRPr="00C21D08" w:rsidRDefault="00C21D08" w:rsidP="00C21D08">
      <w:r w:rsidRPr="00C21D08">
        <w:t xml:space="preserve">In 6 months, our Practices had already </w:t>
      </w:r>
      <w:proofErr w:type="gramStart"/>
      <w:r w:rsidRPr="00C21D08">
        <w:t>exceed</w:t>
      </w:r>
      <w:proofErr w:type="gramEnd"/>
      <w:r w:rsidRPr="00C21D08">
        <w:t xml:space="preserve"> their annual targets by 100%. </w:t>
      </w:r>
    </w:p>
    <w:p w14:paraId="711BA08B" w14:textId="77777777" w:rsidR="00C21D08" w:rsidRPr="00C21D08" w:rsidRDefault="00C21D08" w:rsidP="00C21D08"/>
    <w:p w14:paraId="6D9A2826" w14:textId="06535FF4" w:rsidR="00C21D08" w:rsidRPr="00C21D08" w:rsidRDefault="00C21D08" w:rsidP="00C21D08">
      <w:r w:rsidRPr="00C21D08">
        <w:t>Essentially, this has increased Patient Access with appointments freed up for more complex needs.</w:t>
      </w:r>
    </w:p>
    <w:p w14:paraId="0BA9B798" w14:textId="77777777" w:rsidR="00C21D08" w:rsidRPr="00C21D08" w:rsidRDefault="00C21D08" w:rsidP="00C21D08"/>
    <w:p w14:paraId="7B34B0A0" w14:textId="77777777" w:rsidR="00C21D08" w:rsidRPr="00C21D08" w:rsidRDefault="00C21D08" w:rsidP="00C21D08">
      <w:r w:rsidRPr="00C21D08">
        <w:t xml:space="preserve">Community Pharmacy Consultation Service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37"/>
        <w:gridCol w:w="3037"/>
        <w:gridCol w:w="3037"/>
      </w:tblGrid>
      <w:tr w:rsidR="00C21D08" w:rsidRPr="00C21D08" w14:paraId="139969B4" w14:textId="77777777">
        <w:tblPrEx>
          <w:tblCellMar>
            <w:top w:w="0" w:type="dxa"/>
            <w:bottom w:w="0" w:type="dxa"/>
          </w:tblCellMar>
        </w:tblPrEx>
        <w:trPr>
          <w:trHeight w:val="417"/>
        </w:trPr>
        <w:tc>
          <w:tcPr>
            <w:tcW w:w="3037" w:type="dxa"/>
            <w:tcBorders>
              <w:top w:val="none" w:sz="6" w:space="0" w:color="auto"/>
              <w:bottom w:val="none" w:sz="6" w:space="0" w:color="auto"/>
              <w:right w:val="none" w:sz="6" w:space="0" w:color="auto"/>
            </w:tcBorders>
          </w:tcPr>
          <w:p w14:paraId="2F68DFC4" w14:textId="77777777" w:rsidR="00C21D08" w:rsidRPr="00C21D08" w:rsidRDefault="00C21D08" w:rsidP="00C21D08">
            <w:r w:rsidRPr="00C21D08">
              <w:t xml:space="preserve">Data from 1st June 2022 to 22nd January 2023 Practice </w:t>
            </w:r>
          </w:p>
        </w:tc>
        <w:tc>
          <w:tcPr>
            <w:tcW w:w="3037" w:type="dxa"/>
            <w:tcBorders>
              <w:top w:val="none" w:sz="6" w:space="0" w:color="auto"/>
              <w:left w:val="none" w:sz="6" w:space="0" w:color="auto"/>
              <w:bottom w:val="none" w:sz="6" w:space="0" w:color="auto"/>
              <w:right w:val="none" w:sz="6" w:space="0" w:color="auto"/>
            </w:tcBorders>
          </w:tcPr>
          <w:p w14:paraId="655D1C92" w14:textId="77777777" w:rsidR="00C21D08" w:rsidRPr="00C21D08" w:rsidRDefault="00C21D08" w:rsidP="00C21D08">
            <w:r w:rsidRPr="00C21D08">
              <w:t xml:space="preserve">Number of Pharmacy Referrals </w:t>
            </w:r>
          </w:p>
          <w:p w14:paraId="401DF9FC" w14:textId="77777777" w:rsidR="00C21D08" w:rsidRPr="00C21D08" w:rsidRDefault="00C21D08" w:rsidP="00C21D08">
            <w:r w:rsidRPr="00C21D08">
              <w:t>June1st 22 to Jan 22nd</w:t>
            </w:r>
            <w:proofErr w:type="gramStart"/>
            <w:r w:rsidRPr="00C21D08">
              <w:t xml:space="preserve"> 2023</w:t>
            </w:r>
            <w:proofErr w:type="gramEnd"/>
            <w:r w:rsidRPr="00C21D08">
              <w:t xml:space="preserve"> </w:t>
            </w:r>
          </w:p>
        </w:tc>
        <w:tc>
          <w:tcPr>
            <w:tcW w:w="3037" w:type="dxa"/>
            <w:tcBorders>
              <w:top w:val="none" w:sz="6" w:space="0" w:color="auto"/>
              <w:left w:val="none" w:sz="6" w:space="0" w:color="auto"/>
              <w:bottom w:val="none" w:sz="6" w:space="0" w:color="auto"/>
            </w:tcBorders>
          </w:tcPr>
          <w:p w14:paraId="590C166E" w14:textId="77777777" w:rsidR="00C21D08" w:rsidRPr="00C21D08" w:rsidRDefault="00C21D08" w:rsidP="00C21D08">
            <w:r w:rsidRPr="00C21D08">
              <w:t xml:space="preserve">Equivalent GP sessions </w:t>
            </w:r>
          </w:p>
          <w:p w14:paraId="3FC56AA7" w14:textId="77777777" w:rsidR="00C21D08" w:rsidRPr="00C21D08" w:rsidRDefault="00C21D08" w:rsidP="00C21D08">
            <w:r w:rsidRPr="00C21D08">
              <w:t xml:space="preserve">(1 session = 18 appointments) </w:t>
            </w:r>
          </w:p>
        </w:tc>
      </w:tr>
      <w:tr w:rsidR="00C21D08" w:rsidRPr="00C21D08" w14:paraId="14C3AC21" w14:textId="77777777">
        <w:tblPrEx>
          <w:tblCellMar>
            <w:top w:w="0" w:type="dxa"/>
            <w:bottom w:w="0" w:type="dxa"/>
          </w:tblCellMar>
        </w:tblPrEx>
        <w:trPr>
          <w:trHeight w:val="120"/>
        </w:trPr>
        <w:tc>
          <w:tcPr>
            <w:tcW w:w="3037" w:type="dxa"/>
            <w:tcBorders>
              <w:top w:val="none" w:sz="6" w:space="0" w:color="auto"/>
              <w:bottom w:val="none" w:sz="6" w:space="0" w:color="auto"/>
              <w:right w:val="none" w:sz="6" w:space="0" w:color="auto"/>
            </w:tcBorders>
          </w:tcPr>
          <w:p w14:paraId="7F78DA7B" w14:textId="77777777" w:rsidR="00C21D08" w:rsidRPr="00C21D08" w:rsidRDefault="00C21D08" w:rsidP="00C21D08">
            <w:r w:rsidRPr="00C21D08">
              <w:t xml:space="preserve">Stratford Health Centre </w:t>
            </w:r>
          </w:p>
        </w:tc>
        <w:tc>
          <w:tcPr>
            <w:tcW w:w="3037" w:type="dxa"/>
            <w:tcBorders>
              <w:top w:val="none" w:sz="6" w:space="0" w:color="auto"/>
              <w:left w:val="none" w:sz="6" w:space="0" w:color="auto"/>
              <w:bottom w:val="none" w:sz="6" w:space="0" w:color="auto"/>
              <w:right w:val="none" w:sz="6" w:space="0" w:color="auto"/>
            </w:tcBorders>
          </w:tcPr>
          <w:p w14:paraId="5A629472" w14:textId="77777777" w:rsidR="00C21D08" w:rsidRPr="00C21D08" w:rsidRDefault="00C21D08" w:rsidP="00C21D08">
            <w:r w:rsidRPr="00C21D08">
              <w:t xml:space="preserve">599 Referrals </w:t>
            </w:r>
          </w:p>
        </w:tc>
        <w:tc>
          <w:tcPr>
            <w:tcW w:w="3037" w:type="dxa"/>
            <w:tcBorders>
              <w:top w:val="none" w:sz="6" w:space="0" w:color="auto"/>
              <w:left w:val="none" w:sz="6" w:space="0" w:color="auto"/>
              <w:bottom w:val="none" w:sz="6" w:space="0" w:color="auto"/>
            </w:tcBorders>
          </w:tcPr>
          <w:p w14:paraId="12E5CBAF" w14:textId="77777777" w:rsidR="00C21D08" w:rsidRPr="00C21D08" w:rsidRDefault="00C21D08" w:rsidP="00C21D08">
            <w:r w:rsidRPr="00C21D08">
              <w:t xml:space="preserve">33.3 GP Sessions </w:t>
            </w:r>
          </w:p>
        </w:tc>
      </w:tr>
      <w:tr w:rsidR="00C21D08" w:rsidRPr="00C21D08" w14:paraId="150DD7AF" w14:textId="77777777">
        <w:tblPrEx>
          <w:tblCellMar>
            <w:top w:w="0" w:type="dxa"/>
            <w:bottom w:w="0" w:type="dxa"/>
          </w:tblCellMar>
        </w:tblPrEx>
        <w:trPr>
          <w:trHeight w:val="120"/>
        </w:trPr>
        <w:tc>
          <w:tcPr>
            <w:tcW w:w="3037" w:type="dxa"/>
            <w:tcBorders>
              <w:top w:val="none" w:sz="6" w:space="0" w:color="auto"/>
              <w:bottom w:val="none" w:sz="6" w:space="0" w:color="auto"/>
              <w:right w:val="none" w:sz="6" w:space="0" w:color="auto"/>
            </w:tcBorders>
          </w:tcPr>
          <w:p w14:paraId="31AF2044" w14:textId="77777777" w:rsidR="00C21D08" w:rsidRPr="00C21D08" w:rsidRDefault="00C21D08" w:rsidP="00C21D08">
            <w:r w:rsidRPr="00C21D08">
              <w:t xml:space="preserve">The Forest Practice </w:t>
            </w:r>
          </w:p>
        </w:tc>
        <w:tc>
          <w:tcPr>
            <w:tcW w:w="3037" w:type="dxa"/>
            <w:tcBorders>
              <w:top w:val="none" w:sz="6" w:space="0" w:color="auto"/>
              <w:left w:val="none" w:sz="6" w:space="0" w:color="auto"/>
              <w:bottom w:val="none" w:sz="6" w:space="0" w:color="auto"/>
              <w:right w:val="none" w:sz="6" w:space="0" w:color="auto"/>
            </w:tcBorders>
          </w:tcPr>
          <w:p w14:paraId="2675A5F9" w14:textId="77777777" w:rsidR="00C21D08" w:rsidRPr="00C21D08" w:rsidRDefault="00C21D08" w:rsidP="00C21D08">
            <w:r w:rsidRPr="00C21D08">
              <w:t xml:space="preserve">655 Referrals </w:t>
            </w:r>
          </w:p>
        </w:tc>
        <w:tc>
          <w:tcPr>
            <w:tcW w:w="3037" w:type="dxa"/>
            <w:tcBorders>
              <w:top w:val="none" w:sz="6" w:space="0" w:color="auto"/>
              <w:left w:val="none" w:sz="6" w:space="0" w:color="auto"/>
              <w:bottom w:val="none" w:sz="6" w:space="0" w:color="auto"/>
            </w:tcBorders>
          </w:tcPr>
          <w:p w14:paraId="0A6D100F" w14:textId="77777777" w:rsidR="00C21D08" w:rsidRPr="00C21D08" w:rsidRDefault="00C21D08" w:rsidP="00C21D08">
            <w:r w:rsidRPr="00C21D08">
              <w:t xml:space="preserve">36.4 GP Sessions </w:t>
            </w:r>
          </w:p>
        </w:tc>
      </w:tr>
      <w:tr w:rsidR="00C21D08" w:rsidRPr="00C21D08" w14:paraId="1226D667" w14:textId="77777777">
        <w:tblPrEx>
          <w:tblCellMar>
            <w:top w:w="0" w:type="dxa"/>
            <w:bottom w:w="0" w:type="dxa"/>
          </w:tblCellMar>
        </w:tblPrEx>
        <w:trPr>
          <w:trHeight w:val="140"/>
        </w:trPr>
        <w:tc>
          <w:tcPr>
            <w:tcW w:w="3037" w:type="dxa"/>
            <w:tcBorders>
              <w:top w:val="none" w:sz="6" w:space="0" w:color="auto"/>
              <w:bottom w:val="none" w:sz="6" w:space="0" w:color="auto"/>
              <w:right w:val="none" w:sz="6" w:space="0" w:color="auto"/>
            </w:tcBorders>
          </w:tcPr>
          <w:p w14:paraId="4F180BF2" w14:textId="77777777" w:rsidR="00C21D08" w:rsidRPr="00C21D08" w:rsidRDefault="00C21D08" w:rsidP="00C21D08">
            <w:r w:rsidRPr="00C21D08">
              <w:t xml:space="preserve">TOTAL </w:t>
            </w:r>
          </w:p>
        </w:tc>
        <w:tc>
          <w:tcPr>
            <w:tcW w:w="3037" w:type="dxa"/>
            <w:tcBorders>
              <w:top w:val="none" w:sz="6" w:space="0" w:color="auto"/>
              <w:left w:val="none" w:sz="6" w:space="0" w:color="auto"/>
              <w:bottom w:val="none" w:sz="6" w:space="0" w:color="auto"/>
              <w:right w:val="none" w:sz="6" w:space="0" w:color="auto"/>
            </w:tcBorders>
          </w:tcPr>
          <w:p w14:paraId="688F25AB" w14:textId="77777777" w:rsidR="00C21D08" w:rsidRPr="00C21D08" w:rsidRDefault="00C21D08" w:rsidP="00C21D08">
            <w:r w:rsidRPr="00C21D08">
              <w:t xml:space="preserve">1254 Referrals </w:t>
            </w:r>
          </w:p>
        </w:tc>
        <w:tc>
          <w:tcPr>
            <w:tcW w:w="3037" w:type="dxa"/>
            <w:tcBorders>
              <w:top w:val="none" w:sz="6" w:space="0" w:color="auto"/>
              <w:left w:val="none" w:sz="6" w:space="0" w:color="auto"/>
              <w:bottom w:val="none" w:sz="6" w:space="0" w:color="auto"/>
            </w:tcBorders>
          </w:tcPr>
          <w:p w14:paraId="56A4FA65" w14:textId="77777777" w:rsidR="00C21D08" w:rsidRPr="00C21D08" w:rsidRDefault="00C21D08" w:rsidP="00C21D08">
            <w:r w:rsidRPr="00C21D08">
              <w:t xml:space="preserve">70 GP Sessions </w:t>
            </w:r>
          </w:p>
        </w:tc>
      </w:tr>
    </w:tbl>
    <w:p w14:paraId="38D5DB96" w14:textId="77777777" w:rsidR="00C21D08" w:rsidRPr="00C21D08" w:rsidRDefault="00C21D08" w:rsidP="00C21D08"/>
    <w:p w14:paraId="0883438A" w14:textId="2EC2B22B" w:rsidR="00C21D08" w:rsidRPr="00C21D08" w:rsidRDefault="00C21D08" w:rsidP="00C21D08">
      <w:r w:rsidRPr="00C21D08">
        <w:t>Patient Population Growth</w:t>
      </w:r>
    </w:p>
    <w:p w14:paraId="0532FFDF" w14:textId="77777777" w:rsidR="00C21D08" w:rsidRPr="00C21D08" w:rsidRDefault="00C21D08" w:rsidP="00C21D08">
      <w:r w:rsidRPr="00C21D08">
        <w:lastRenderedPageBreak/>
        <w:t xml:space="preserve">Whilst we often see a transient patient population in this area with many patients registering and deregistering on a weekly basis – Stratford is experiencing a significant patient population increase. </w:t>
      </w:r>
    </w:p>
    <w:p w14:paraId="14636C41" w14:textId="77777777" w:rsidR="00C21D08" w:rsidRPr="00C21D08" w:rsidRDefault="00C21D08" w:rsidP="00C21D08"/>
    <w:p w14:paraId="108EB055" w14:textId="77777777" w:rsidR="00C21D08" w:rsidRPr="00C21D08" w:rsidRDefault="00C21D08" w:rsidP="00C21D08">
      <w:r w:rsidRPr="00C21D08">
        <w:t xml:space="preserve">This adds significant additional pressure both from and Administration and clinical perspective. </w:t>
      </w:r>
    </w:p>
    <w:p w14:paraId="46C5BAA0" w14:textId="77777777" w:rsidR="00C21D08" w:rsidRPr="00C21D08" w:rsidRDefault="00C21D08" w:rsidP="00C21D08"/>
    <w:p w14:paraId="4D0F67B2" w14:textId="77777777" w:rsidR="00C21D08" w:rsidRPr="00C21D08" w:rsidRDefault="00C21D08" w:rsidP="00C21D08">
      <w:r w:rsidRPr="00C21D08">
        <w:t xml:space="preserve">For 2022 alone, we have calculated at least one time additional Part time administrator working 25 hours per week was needed to handle the associated workload. </w:t>
      </w:r>
    </w:p>
    <w:p w14:paraId="42D6EAFC" w14:textId="77777777" w:rsidR="00C21D08" w:rsidRPr="00C21D08" w:rsidRDefault="00C21D08" w:rsidP="00C21D08"/>
    <w:p w14:paraId="0C6A17A1" w14:textId="630A080E" w:rsidR="00C21D08" w:rsidRPr="00C21D08" w:rsidRDefault="00C21D08" w:rsidP="00C21D08">
      <w:r w:rsidRPr="00C21D08">
        <w:t>For 2022, SHC saw net growth of 1,000 Patients.</w:t>
      </w:r>
    </w:p>
    <w:p w14:paraId="477869B1" w14:textId="77777777" w:rsidR="00C21D08" w:rsidRPr="00C21D08" w:rsidRDefault="00C21D08" w:rsidP="00C21D08"/>
    <w:p w14:paraId="2A258DF6" w14:textId="5BFDAB4F" w:rsidR="00C21D08" w:rsidRPr="00C21D08" w:rsidRDefault="00C21D08" w:rsidP="00C21D08">
      <w:r w:rsidRPr="00C21D08">
        <w:t>Our Clinical Team</w:t>
      </w:r>
    </w:p>
    <w:p w14:paraId="1D37A99C" w14:textId="77777777" w:rsidR="00C21D08" w:rsidRPr="00C21D08" w:rsidRDefault="00C21D08" w:rsidP="00C21D08"/>
    <w:p w14:paraId="5A5DC657" w14:textId="77777777" w:rsidR="00C21D08" w:rsidRPr="00C21D08" w:rsidRDefault="00C21D08" w:rsidP="00C21D08">
      <w:r w:rsidRPr="00C21D08">
        <w:t xml:space="preserve">OUR PRACTICE HEALTHCARE TEAM </w:t>
      </w:r>
    </w:p>
    <w:p w14:paraId="5A8ED9AF" w14:textId="77777777" w:rsidR="00C21D08" w:rsidRPr="00C21D08" w:rsidRDefault="00C21D08" w:rsidP="00C21D08">
      <w:r w:rsidRPr="00C21D08">
        <w:t xml:space="preserve">1 GP Partner </w:t>
      </w:r>
    </w:p>
    <w:p w14:paraId="354205DC" w14:textId="77777777" w:rsidR="00C21D08" w:rsidRPr="00C21D08" w:rsidRDefault="00C21D08" w:rsidP="00C21D08">
      <w:r w:rsidRPr="00C21D08">
        <w:t xml:space="preserve">1 Salaried GP </w:t>
      </w:r>
    </w:p>
    <w:p w14:paraId="40E7A95B" w14:textId="77777777" w:rsidR="00C21D08" w:rsidRPr="00C21D08" w:rsidRDefault="00C21D08" w:rsidP="00C21D08">
      <w:r w:rsidRPr="00C21D08">
        <w:t xml:space="preserve">10 Locum GP’s </w:t>
      </w:r>
    </w:p>
    <w:p w14:paraId="1258D922" w14:textId="77777777" w:rsidR="00C21D08" w:rsidRPr="00C21D08" w:rsidRDefault="00C21D08" w:rsidP="00C21D08">
      <w:r w:rsidRPr="00C21D08">
        <w:t xml:space="preserve">2 Clinical Practitioners </w:t>
      </w:r>
    </w:p>
    <w:p w14:paraId="758EB55B" w14:textId="77777777" w:rsidR="00C21D08" w:rsidRPr="00C21D08" w:rsidRDefault="00C21D08" w:rsidP="00C21D08">
      <w:r w:rsidRPr="00C21D08">
        <w:t xml:space="preserve">7 Physician Associates </w:t>
      </w:r>
    </w:p>
    <w:p w14:paraId="7ED05340" w14:textId="77777777" w:rsidR="00C21D08" w:rsidRPr="00C21D08" w:rsidRDefault="00C21D08" w:rsidP="00C21D08">
      <w:r w:rsidRPr="00C21D08">
        <w:t xml:space="preserve">1 Clinical Pharmacist </w:t>
      </w:r>
    </w:p>
    <w:p w14:paraId="1916AD5F" w14:textId="77777777" w:rsidR="00C21D08" w:rsidRPr="00C21D08" w:rsidRDefault="00C21D08" w:rsidP="00C21D08">
      <w:r w:rsidRPr="00C21D08">
        <w:t xml:space="preserve">3 Practice Nurses </w:t>
      </w:r>
    </w:p>
    <w:p w14:paraId="75392EF6" w14:textId="1605D760" w:rsidR="00C21D08" w:rsidRPr="00C21D08" w:rsidRDefault="00C21D08" w:rsidP="00C21D08">
      <w:r w:rsidRPr="00C21D08">
        <w:t>4 Healthcare Assistants</w:t>
      </w:r>
    </w:p>
    <w:p w14:paraId="3C889C69" w14:textId="77777777" w:rsidR="00C21D08" w:rsidRPr="00C21D08" w:rsidRDefault="00C21D08" w:rsidP="00C21D08"/>
    <w:p w14:paraId="7A1E26D6" w14:textId="2623F771" w:rsidR="00C21D08" w:rsidRPr="00C21D08" w:rsidRDefault="00C21D08" w:rsidP="00C21D08">
      <w:r w:rsidRPr="00C21D08">
        <w:t xml:space="preserve">We are in discussions with a Salaried GP who may be able to offer 6-9 clinical sessions per </w:t>
      </w:r>
      <w:proofErr w:type="gramStart"/>
      <w:r w:rsidRPr="00C21D08">
        <w:t>week</w:t>
      </w:r>
      <w:proofErr w:type="gramEnd"/>
    </w:p>
    <w:p w14:paraId="5F0513E7" w14:textId="77777777" w:rsidR="00C21D08" w:rsidRPr="00C21D08" w:rsidRDefault="00C21D08" w:rsidP="00C21D08"/>
    <w:p w14:paraId="10009409" w14:textId="7253380F" w:rsidR="00C21D08" w:rsidRPr="00C21D08" w:rsidRDefault="00C21D08" w:rsidP="00C21D08">
      <w:r w:rsidRPr="00C21D08">
        <w:t>National GP Patient Survey – we bucked the trend!</w:t>
      </w:r>
    </w:p>
    <w:p w14:paraId="66F66389" w14:textId="3AC18EC3" w:rsidR="00C21D08" w:rsidRPr="00C21D08" w:rsidRDefault="00C21D08" w:rsidP="00C21D08">
      <w:r w:rsidRPr="00C21D08">
        <w:t>¾ of our patients rate their overall experience as ‘GOOD’.</w:t>
      </w:r>
    </w:p>
    <w:p w14:paraId="2F8E55D4" w14:textId="146A5DA8" w:rsidR="00C21D08" w:rsidRPr="00C21D08" w:rsidRDefault="00C21D08" w:rsidP="00C21D08">
      <w:r w:rsidRPr="00C21D08">
        <w:t>Stratford Health Centre was 75%</w:t>
      </w:r>
    </w:p>
    <w:p w14:paraId="2C475737" w14:textId="067AEABA" w:rsidR="00C21D08" w:rsidRPr="00C21D08" w:rsidRDefault="00C21D08" w:rsidP="00C21D08">
      <w:r w:rsidRPr="00C21D08">
        <w:t>The Forest Practice was 76%</w:t>
      </w:r>
    </w:p>
    <w:p w14:paraId="6C0F65F1" w14:textId="6D216260" w:rsidR="00C21D08" w:rsidRPr="00C21D08" w:rsidRDefault="00C21D08" w:rsidP="00C21D08">
      <w:r w:rsidRPr="00C21D08">
        <w:t>NEL Average was 66% | National Average 72%. We exceeded these.</w:t>
      </w:r>
    </w:p>
    <w:p w14:paraId="455DED64" w14:textId="0861C0CC" w:rsidR="00C21D08" w:rsidRPr="00C21D08" w:rsidRDefault="00C21D08" w:rsidP="00C21D08">
      <w:r w:rsidRPr="00C21D08">
        <w:t>The Forest Practices was ahead of the NEL average in every indicator – a fantastic achievement.</w:t>
      </w:r>
    </w:p>
    <w:p w14:paraId="086890BD" w14:textId="77777777" w:rsidR="00C21D08" w:rsidRPr="00C21D08" w:rsidRDefault="00C21D08" w:rsidP="00C21D08"/>
    <w:p w14:paraId="56286B90" w14:textId="77777777" w:rsidR="00C21D08" w:rsidRPr="00C21D08" w:rsidRDefault="00C21D08" w:rsidP="00C21D08">
      <w:r w:rsidRPr="00C21D08">
        <w:t xml:space="preserve">We now have a PCN Team </w:t>
      </w:r>
      <w:proofErr w:type="gramStart"/>
      <w:r w:rsidRPr="00C21D08">
        <w:t>comprising</w:t>
      </w:r>
      <w:proofErr w:type="gramEnd"/>
      <w:r w:rsidRPr="00C21D08">
        <w:t xml:space="preserve"> </w:t>
      </w:r>
    </w:p>
    <w:p w14:paraId="67B35AA3" w14:textId="77777777" w:rsidR="00C21D08" w:rsidRPr="00C21D08" w:rsidRDefault="00C21D08" w:rsidP="00C21D08">
      <w:r w:rsidRPr="00C21D08">
        <w:t xml:space="preserve">5 Physician Associates </w:t>
      </w:r>
    </w:p>
    <w:p w14:paraId="66A90B8F" w14:textId="77777777" w:rsidR="00C21D08" w:rsidRPr="00C21D08" w:rsidRDefault="00C21D08" w:rsidP="00C21D08">
      <w:r w:rsidRPr="00C21D08">
        <w:t xml:space="preserve">5 Social Prescribers </w:t>
      </w:r>
    </w:p>
    <w:p w14:paraId="7E2D5FD0" w14:textId="77777777" w:rsidR="00C21D08" w:rsidRPr="00C21D08" w:rsidRDefault="00C21D08" w:rsidP="00C21D08">
      <w:r w:rsidRPr="00C21D08">
        <w:t xml:space="preserve">1 Care Coordinator </w:t>
      </w:r>
    </w:p>
    <w:p w14:paraId="2DC199DC" w14:textId="77777777" w:rsidR="00C21D08" w:rsidRPr="00C21D08" w:rsidRDefault="00C21D08" w:rsidP="00C21D08">
      <w:r w:rsidRPr="00C21D08">
        <w:t xml:space="preserve">1 Paramedic </w:t>
      </w:r>
    </w:p>
    <w:p w14:paraId="77386AF4" w14:textId="77777777" w:rsidR="00C21D08" w:rsidRPr="00C21D08" w:rsidRDefault="00C21D08" w:rsidP="00C21D08">
      <w:r w:rsidRPr="00C21D08">
        <w:t xml:space="preserve">1 Clinical Pharmacist </w:t>
      </w:r>
    </w:p>
    <w:p w14:paraId="4A6C1145" w14:textId="77777777" w:rsidR="00C21D08" w:rsidRPr="00C21D08" w:rsidRDefault="00C21D08" w:rsidP="00C21D08">
      <w:r w:rsidRPr="00C21D08">
        <w:t xml:space="preserve">1 Mental Health Nurse </w:t>
      </w:r>
    </w:p>
    <w:p w14:paraId="4C65ECF7" w14:textId="2EDF5D02" w:rsidR="00C21D08" w:rsidRPr="00C21D08" w:rsidRDefault="00C21D08" w:rsidP="00C21D08">
      <w:r w:rsidRPr="00C21D08">
        <w:t>From April 2023 the Plans are + 3 Physician Associates | +1 Physio |+ 1 Paramedic</w:t>
      </w:r>
    </w:p>
    <w:p w14:paraId="4FD886B1" w14:textId="77777777" w:rsidR="00C21D08" w:rsidRPr="00C21D08" w:rsidRDefault="00C21D08" w:rsidP="00C21D08"/>
    <w:p w14:paraId="55DA0284" w14:textId="20F23858" w:rsidR="00C21D08" w:rsidRPr="00C21D08" w:rsidRDefault="00C21D08" w:rsidP="00C21D08">
      <w:r w:rsidRPr="00C21D08">
        <w:t>A few other ‘Practice Headlines’</w:t>
      </w:r>
    </w:p>
    <w:p w14:paraId="4666D9F3" w14:textId="77777777" w:rsidR="00C21D08" w:rsidRPr="00C21D08" w:rsidRDefault="00C21D08" w:rsidP="00C21D08"/>
    <w:tbl>
      <w:tblPr>
        <w:tblW w:w="941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419"/>
      </w:tblGrid>
      <w:tr w:rsidR="00C21D08" w:rsidRPr="00C21D08" w14:paraId="58E0A9F4" w14:textId="77777777" w:rsidTr="00C21D08">
        <w:tblPrEx>
          <w:tblCellMar>
            <w:top w:w="0" w:type="dxa"/>
            <w:bottom w:w="0" w:type="dxa"/>
          </w:tblCellMar>
        </w:tblPrEx>
        <w:trPr>
          <w:trHeight w:val="580"/>
        </w:trPr>
        <w:tc>
          <w:tcPr>
            <w:tcW w:w="9419" w:type="dxa"/>
            <w:tcBorders>
              <w:top w:val="none" w:sz="6" w:space="0" w:color="auto"/>
              <w:bottom w:val="none" w:sz="6" w:space="0" w:color="auto"/>
            </w:tcBorders>
          </w:tcPr>
          <w:p w14:paraId="5A0CA124" w14:textId="77777777" w:rsidR="00C21D08" w:rsidRPr="00C21D08" w:rsidRDefault="00C21D08" w:rsidP="00C21D08">
            <w:r w:rsidRPr="00C21D08">
              <w:lastRenderedPageBreak/>
              <w:t xml:space="preserve">COST OF LIVING </w:t>
            </w:r>
          </w:p>
          <w:p w14:paraId="318ECA9B" w14:textId="77777777" w:rsidR="00C21D08" w:rsidRPr="00C21D08" w:rsidRDefault="00C21D08" w:rsidP="00C21D08">
            <w:r w:rsidRPr="00C21D08">
              <w:t xml:space="preserve">Utilities circa 250% increase in Billing this year </w:t>
            </w:r>
          </w:p>
          <w:p w14:paraId="4DFF5EB2" w14:textId="77777777" w:rsidR="00C21D08" w:rsidRPr="00C21D08" w:rsidRDefault="00C21D08" w:rsidP="00C21D08">
            <w:r w:rsidRPr="00C21D08">
              <w:t xml:space="preserve">Already had notification of a 300% increase in Gas and 100% increase in Electricity Bills in 2023-24 @TFP </w:t>
            </w:r>
          </w:p>
        </w:tc>
      </w:tr>
      <w:tr w:rsidR="00C21D08" w:rsidRPr="00C21D08" w14:paraId="0723819D" w14:textId="77777777" w:rsidTr="00511484">
        <w:tblPrEx>
          <w:tblCellMar>
            <w:top w:w="0" w:type="dxa"/>
            <w:bottom w:w="0" w:type="dxa"/>
          </w:tblCellMar>
        </w:tblPrEx>
        <w:trPr>
          <w:trHeight w:val="607"/>
        </w:trPr>
        <w:tc>
          <w:tcPr>
            <w:tcW w:w="9419" w:type="dxa"/>
            <w:tcBorders>
              <w:top w:val="none" w:sz="6" w:space="0" w:color="auto"/>
              <w:bottom w:val="none" w:sz="6" w:space="0" w:color="auto"/>
            </w:tcBorders>
          </w:tcPr>
          <w:p w14:paraId="117C2AE1" w14:textId="77777777" w:rsidR="00C21D08" w:rsidRPr="00C21D08" w:rsidRDefault="00C21D08" w:rsidP="00C21D08">
            <w:r w:rsidRPr="00C21D08">
              <w:t xml:space="preserve">ENVIRONMENTAL ENHANCEMENTS </w:t>
            </w:r>
          </w:p>
          <w:p w14:paraId="6385BB39" w14:textId="77777777" w:rsidR="00C21D08" w:rsidRPr="00C21D08" w:rsidRDefault="00C21D08" w:rsidP="00C21D08">
            <w:r w:rsidRPr="00C21D08">
              <w:t xml:space="preserve">£30k investment at SHC – upgrading sinks, new flooring, redecoration of some rooms, new </w:t>
            </w:r>
            <w:proofErr w:type="gramStart"/>
            <w:r w:rsidRPr="00C21D08">
              <w:t>boiler</w:t>
            </w:r>
            <w:proofErr w:type="gramEnd"/>
            <w:r w:rsidRPr="00C21D08">
              <w:t xml:space="preserve"> </w:t>
            </w:r>
          </w:p>
          <w:p w14:paraId="1C6C7079" w14:textId="77777777" w:rsidR="00C21D08" w:rsidRPr="00C21D08" w:rsidRDefault="00C21D08" w:rsidP="00C21D08">
            <w:r w:rsidRPr="00C21D08">
              <w:t xml:space="preserve">Additional £30k investment required and will seeking funding support if available </w:t>
            </w:r>
          </w:p>
        </w:tc>
      </w:tr>
      <w:tr w:rsidR="00C21D08" w:rsidRPr="00C21D08" w14:paraId="3A5EBF51" w14:textId="77777777" w:rsidTr="00334CB0">
        <w:tblPrEx>
          <w:tblCellMar>
            <w:top w:w="0" w:type="dxa"/>
            <w:bottom w:w="0" w:type="dxa"/>
          </w:tblCellMar>
        </w:tblPrEx>
        <w:trPr>
          <w:trHeight w:val="608"/>
        </w:trPr>
        <w:tc>
          <w:tcPr>
            <w:tcW w:w="9419" w:type="dxa"/>
            <w:tcBorders>
              <w:top w:val="none" w:sz="6" w:space="0" w:color="auto"/>
              <w:bottom w:val="none" w:sz="6" w:space="0" w:color="auto"/>
            </w:tcBorders>
          </w:tcPr>
          <w:p w14:paraId="6B052B9A" w14:textId="77777777" w:rsidR="00C21D08" w:rsidRPr="00C21D08" w:rsidRDefault="00C21D08" w:rsidP="00C21D08">
            <w:r w:rsidRPr="00C21D08">
              <w:t xml:space="preserve">NATIONAL LIVING WAGE </w:t>
            </w:r>
          </w:p>
          <w:p w14:paraId="40669494" w14:textId="77777777" w:rsidR="00C21D08" w:rsidRPr="00C21D08" w:rsidRDefault="00C21D08" w:rsidP="00C21D08">
            <w:r w:rsidRPr="00C21D08">
              <w:t>Increases by 10% from April 1st</w:t>
            </w:r>
            <w:proofErr w:type="gramStart"/>
            <w:r w:rsidRPr="00C21D08">
              <w:t xml:space="preserve"> 2023</w:t>
            </w:r>
            <w:proofErr w:type="gramEnd"/>
            <w:r w:rsidRPr="00C21D08">
              <w:t xml:space="preserve"> – we already pay circa 3% ahead of minimum wage and </w:t>
            </w:r>
            <w:proofErr w:type="spellStart"/>
            <w:r w:rsidRPr="00C21D08">
              <w:t>foreast</w:t>
            </w:r>
            <w:proofErr w:type="spellEnd"/>
            <w:r w:rsidRPr="00C21D08">
              <w:t xml:space="preserve"> an additional £25k minimum payroll spend to ensure we continue this gap for our Admin Team </w:t>
            </w:r>
          </w:p>
        </w:tc>
      </w:tr>
      <w:tr w:rsidR="00C21D08" w:rsidRPr="00C21D08" w14:paraId="617B6AD8" w14:textId="77777777" w:rsidTr="008423DD">
        <w:tblPrEx>
          <w:tblCellMar>
            <w:top w:w="0" w:type="dxa"/>
            <w:bottom w:w="0" w:type="dxa"/>
          </w:tblCellMar>
        </w:tblPrEx>
        <w:trPr>
          <w:trHeight w:val="754"/>
        </w:trPr>
        <w:tc>
          <w:tcPr>
            <w:tcW w:w="9419" w:type="dxa"/>
            <w:tcBorders>
              <w:top w:val="none" w:sz="6" w:space="0" w:color="auto"/>
              <w:bottom w:val="none" w:sz="6" w:space="0" w:color="auto"/>
            </w:tcBorders>
          </w:tcPr>
          <w:p w14:paraId="711D0280" w14:textId="77777777" w:rsidR="00C21D08" w:rsidRPr="00C21D08" w:rsidRDefault="00C21D08" w:rsidP="00C21D08">
            <w:r w:rsidRPr="00C21D08">
              <w:t xml:space="preserve">TEAM EVENT 2022 </w:t>
            </w:r>
          </w:p>
          <w:p w14:paraId="00F5EC61" w14:textId="77777777" w:rsidR="00C21D08" w:rsidRPr="00C21D08" w:rsidRDefault="00C21D08" w:rsidP="00C21D08">
            <w:r w:rsidRPr="00C21D08">
              <w:t xml:space="preserve">We held our annual team event in November’22 and achieved our best ever </w:t>
            </w:r>
            <w:proofErr w:type="spellStart"/>
            <w:r w:rsidRPr="00C21D08">
              <w:t>turnaout</w:t>
            </w:r>
            <w:proofErr w:type="spellEnd"/>
            <w:r w:rsidRPr="00C21D08">
              <w:t xml:space="preserve"> of 40 Staff. It was also great to have a member for each of our PPG team attend. </w:t>
            </w:r>
          </w:p>
          <w:p w14:paraId="7579ECB9" w14:textId="40830897" w:rsidR="00C21D08" w:rsidRPr="00C21D08" w:rsidRDefault="00C21D08" w:rsidP="00C21D08">
            <w:r w:rsidRPr="00C21D08">
              <w:t xml:space="preserve">This was an opportunity to review ‘how we are doing’, ‘celebrate successes’ and focus on the agenda for the year ahead. </w:t>
            </w:r>
          </w:p>
        </w:tc>
      </w:tr>
      <w:tr w:rsidR="00C21D08" w:rsidRPr="00C21D08" w14:paraId="34DB50C4" w14:textId="77777777" w:rsidTr="008B44F8">
        <w:tblPrEx>
          <w:tblCellMar>
            <w:top w:w="0" w:type="dxa"/>
            <w:bottom w:w="0" w:type="dxa"/>
          </w:tblCellMar>
        </w:tblPrEx>
        <w:trPr>
          <w:trHeight w:val="754"/>
        </w:trPr>
        <w:tc>
          <w:tcPr>
            <w:tcW w:w="9419" w:type="dxa"/>
            <w:tcBorders>
              <w:top w:val="none" w:sz="6" w:space="0" w:color="auto"/>
              <w:left w:val="none" w:sz="6" w:space="0" w:color="auto"/>
              <w:bottom w:val="none" w:sz="6" w:space="0" w:color="auto"/>
              <w:right w:val="none" w:sz="6" w:space="0" w:color="auto"/>
            </w:tcBorders>
          </w:tcPr>
          <w:p w14:paraId="68C41F5D" w14:textId="77777777" w:rsidR="00C21D08" w:rsidRPr="00C21D08" w:rsidRDefault="00C21D08" w:rsidP="00C21D08">
            <w:r w:rsidRPr="00C21D08">
              <w:t xml:space="preserve">THE ‘DAY JOB’ </w:t>
            </w:r>
          </w:p>
          <w:p w14:paraId="5916E2FA" w14:textId="77777777" w:rsidR="00C21D08" w:rsidRPr="00C21D08" w:rsidRDefault="00C21D08" w:rsidP="00C21D08">
            <w:r w:rsidRPr="00C21D08">
              <w:t xml:space="preserve">59,954 clinical appointments </w:t>
            </w:r>
            <w:proofErr w:type="gramStart"/>
            <w:r w:rsidRPr="00C21D08">
              <w:t>given</w:t>
            </w:r>
            <w:proofErr w:type="gramEnd"/>
          </w:p>
          <w:p w14:paraId="2BC45364" w14:textId="5436956E" w:rsidR="00C21D08" w:rsidRPr="00C21D08" w:rsidRDefault="00C21D08" w:rsidP="00C21D08">
            <w:r w:rsidRPr="00C21D08">
              <w:t xml:space="preserve">75,200 </w:t>
            </w:r>
            <w:proofErr w:type="gramStart"/>
            <w:r w:rsidRPr="00C21D08">
              <w:t>telephone</w:t>
            </w:r>
            <w:proofErr w:type="gramEnd"/>
            <w:r w:rsidRPr="00C21D08">
              <w:t xml:space="preserve"> call in |40,000 calls out</w:t>
            </w:r>
          </w:p>
          <w:p w14:paraId="3FF5CFED" w14:textId="77777777" w:rsidR="00C21D08" w:rsidRPr="00C21D08" w:rsidRDefault="00C21D08" w:rsidP="00C21D08">
            <w:r w:rsidRPr="00C21D08">
              <w:t xml:space="preserve">40,500 lab reports </w:t>
            </w:r>
            <w:proofErr w:type="gramStart"/>
            <w:r w:rsidRPr="00C21D08">
              <w:t>processed</w:t>
            </w:r>
            <w:proofErr w:type="gramEnd"/>
          </w:p>
          <w:p w14:paraId="23280969" w14:textId="77777777" w:rsidR="00C21D08" w:rsidRPr="00C21D08" w:rsidRDefault="00C21D08" w:rsidP="00C21D08">
            <w:r w:rsidRPr="00C21D08">
              <w:t xml:space="preserve">52,000 clinical documents </w:t>
            </w:r>
            <w:proofErr w:type="gramStart"/>
            <w:r w:rsidRPr="00C21D08">
              <w:t>processed</w:t>
            </w:r>
            <w:proofErr w:type="gramEnd"/>
          </w:p>
          <w:p w14:paraId="3328874D" w14:textId="76D54068" w:rsidR="00C21D08" w:rsidRPr="00C21D08" w:rsidRDefault="00C21D08" w:rsidP="00C21D08">
            <w:r w:rsidRPr="00C21D08">
              <w:t>65,000 prescriptions authorised</w:t>
            </w:r>
          </w:p>
        </w:tc>
      </w:tr>
      <w:tr w:rsidR="00C21D08" w:rsidRPr="00C21D08" w14:paraId="37EF445B" w14:textId="77777777" w:rsidTr="00974FB1">
        <w:tblPrEx>
          <w:tblCellMar>
            <w:top w:w="0" w:type="dxa"/>
            <w:bottom w:w="0" w:type="dxa"/>
          </w:tblCellMar>
        </w:tblPrEx>
        <w:trPr>
          <w:trHeight w:val="754"/>
        </w:trPr>
        <w:tc>
          <w:tcPr>
            <w:tcW w:w="9419" w:type="dxa"/>
            <w:tcBorders>
              <w:top w:val="none" w:sz="6" w:space="0" w:color="auto"/>
              <w:left w:val="none" w:sz="6" w:space="0" w:color="auto"/>
              <w:bottom w:val="none" w:sz="6" w:space="0" w:color="auto"/>
              <w:right w:val="none" w:sz="6" w:space="0" w:color="auto"/>
            </w:tcBorders>
          </w:tcPr>
          <w:p w14:paraId="57D24007" w14:textId="77777777" w:rsidR="00C21D08" w:rsidRPr="00C21D08" w:rsidRDefault="00C21D08" w:rsidP="00C21D08">
            <w:r w:rsidRPr="00C21D08">
              <w:t xml:space="preserve">NHS HEALTHCHECKS – 602 completed v Annual Target 408 +48% (still 3 months to go) </w:t>
            </w:r>
          </w:p>
        </w:tc>
      </w:tr>
    </w:tbl>
    <w:p w14:paraId="672CCF45" w14:textId="77777777" w:rsidR="00C21D08" w:rsidRPr="00C21D08" w:rsidRDefault="00C21D08" w:rsidP="00C21D08"/>
    <w:sectPr w:rsidR="00C21D08" w:rsidRPr="00C21D08" w:rsidSect="00B961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A1C"/>
    <w:multiLevelType w:val="hybridMultilevel"/>
    <w:tmpl w:val="05A4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56CFB"/>
    <w:multiLevelType w:val="hybridMultilevel"/>
    <w:tmpl w:val="FAF402FA"/>
    <w:lvl w:ilvl="0" w:tplc="167621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F564E"/>
    <w:multiLevelType w:val="hybridMultilevel"/>
    <w:tmpl w:val="764E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B19A7"/>
    <w:multiLevelType w:val="hybridMultilevel"/>
    <w:tmpl w:val="B7F26C20"/>
    <w:lvl w:ilvl="0" w:tplc="167621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00418"/>
    <w:multiLevelType w:val="hybridMultilevel"/>
    <w:tmpl w:val="5618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079963">
    <w:abstractNumId w:val="0"/>
  </w:num>
  <w:num w:numId="2" w16cid:durableId="1485270523">
    <w:abstractNumId w:val="4"/>
  </w:num>
  <w:num w:numId="3" w16cid:durableId="356662866">
    <w:abstractNumId w:val="1"/>
  </w:num>
  <w:num w:numId="4" w16cid:durableId="922106384">
    <w:abstractNumId w:val="3"/>
  </w:num>
  <w:num w:numId="5" w16cid:durableId="1735542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08"/>
    <w:rsid w:val="0006750D"/>
    <w:rsid w:val="002A3BB0"/>
    <w:rsid w:val="009E0233"/>
    <w:rsid w:val="00B961B1"/>
    <w:rsid w:val="00C21D08"/>
    <w:rsid w:val="00CA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56AA26"/>
  <w15:chartTrackingRefBased/>
  <w15:docId w15:val="{9649DBD2-5AC8-3141-BEC6-24586CF7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1D08"/>
    <w:pPr>
      <w:autoSpaceDE w:val="0"/>
      <w:autoSpaceDN w:val="0"/>
      <w:adjustRightInd w:val="0"/>
    </w:pPr>
    <w:rPr>
      <w:rFonts w:ascii="Calibri" w:hAnsi="Calibri" w:cs="Calibri"/>
      <w:color w:val="000000"/>
      <w:kern w:val="0"/>
    </w:rPr>
  </w:style>
  <w:style w:type="paragraph" w:styleId="ListParagraph">
    <w:name w:val="List Paragraph"/>
    <w:basedOn w:val="Normal"/>
    <w:uiPriority w:val="34"/>
    <w:qFormat/>
    <w:rsid w:val="00C21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Cherry-Hardy</dc:creator>
  <cp:keywords/>
  <dc:description/>
  <cp:lastModifiedBy>Claire Cherry-Hardy</cp:lastModifiedBy>
  <cp:revision>1</cp:revision>
  <dcterms:created xsi:type="dcterms:W3CDTF">2023-10-05T08:32:00Z</dcterms:created>
  <dcterms:modified xsi:type="dcterms:W3CDTF">2023-10-05T08:44:00Z</dcterms:modified>
</cp:coreProperties>
</file>